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923" w:type="dxa"/>
        <w:tblInd w:w="-454" w:type="dxa"/>
        <w:tblLayout w:type="fixed"/>
        <w:tblCellMar>
          <w:left w:w="113" w:type="dxa"/>
          <w:right w:w="113" w:type="dxa"/>
        </w:tblCellMar>
        <w:tblLook w:val="0000" w:firstRow="0" w:lastRow="0" w:firstColumn="0" w:lastColumn="0" w:noHBand="0" w:noVBand="0"/>
      </w:tblPr>
      <w:tblGrid>
        <w:gridCol w:w="4962"/>
        <w:gridCol w:w="4961"/>
      </w:tblGrid>
      <w:tr w:rsidR="00A93715" w:rsidRPr="00CA3836" w14:paraId="27BE0FA8" w14:textId="77777777" w:rsidTr="00192368">
        <w:tc>
          <w:tcPr>
            <w:tcW w:w="4962" w:type="dxa"/>
          </w:tcPr>
          <w:p w14:paraId="495B428E" w14:textId="77777777" w:rsidR="00A93715" w:rsidRPr="00B64274" w:rsidRDefault="00A93715" w:rsidP="004561FE">
            <w:pPr>
              <w:pStyle w:val="Telobesedila"/>
              <w:jc w:val="center"/>
              <w:rPr>
                <w:b/>
                <w:bCs/>
                <w:sz w:val="18"/>
                <w:szCs w:val="18"/>
                <w:lang w:val="sl-SI"/>
              </w:rPr>
            </w:pPr>
            <w:r w:rsidRPr="00B64274">
              <w:rPr>
                <w:b/>
                <w:bCs/>
                <w:sz w:val="18"/>
                <w:szCs w:val="18"/>
                <w:lang w:val="sl-SI"/>
              </w:rPr>
              <w:t>P O </w:t>
            </w:r>
            <w:proofErr w:type="spellStart"/>
            <w:r w:rsidRPr="00B64274">
              <w:rPr>
                <w:b/>
                <w:bCs/>
                <w:sz w:val="18"/>
                <w:szCs w:val="18"/>
                <w:lang w:val="sl-SI"/>
              </w:rPr>
              <w:t>O</w:t>
            </w:r>
            <w:proofErr w:type="spellEnd"/>
            <w:r w:rsidRPr="00B64274">
              <w:rPr>
                <w:b/>
                <w:bCs/>
                <w:sz w:val="18"/>
                <w:szCs w:val="18"/>
                <w:lang w:val="sl-SI"/>
              </w:rPr>
              <w:t> B L A S T I L O</w:t>
            </w:r>
          </w:p>
          <w:p w14:paraId="4D151102" w14:textId="77777777" w:rsidR="00CA3836" w:rsidRPr="00B64274" w:rsidRDefault="00CA3836" w:rsidP="004561FE">
            <w:pPr>
              <w:pStyle w:val="Telobesedila"/>
              <w:jc w:val="center"/>
              <w:rPr>
                <w:b/>
                <w:bCs/>
                <w:sz w:val="18"/>
                <w:szCs w:val="18"/>
                <w:lang w:val="sl-SI"/>
              </w:rPr>
            </w:pPr>
          </w:p>
        </w:tc>
        <w:tc>
          <w:tcPr>
            <w:tcW w:w="4961" w:type="dxa"/>
          </w:tcPr>
          <w:p w14:paraId="3C3A683F" w14:textId="2846F351" w:rsidR="001F7634" w:rsidRPr="000654C2" w:rsidRDefault="000654C2" w:rsidP="00CA3836">
            <w:pPr>
              <w:pStyle w:val="Naslov"/>
              <w:rPr>
                <w:sz w:val="18"/>
                <w:szCs w:val="18"/>
                <w:lang w:val="en-GB"/>
              </w:rPr>
            </w:pPr>
            <w:r w:rsidRPr="000654C2">
              <w:rPr>
                <w:sz w:val="18"/>
                <w:szCs w:val="18"/>
                <w:lang w:val="en-GB"/>
              </w:rPr>
              <w:t xml:space="preserve">P O W E R   O F   A T </w:t>
            </w:r>
            <w:proofErr w:type="spellStart"/>
            <w:r w:rsidRPr="000654C2">
              <w:rPr>
                <w:sz w:val="18"/>
                <w:szCs w:val="18"/>
                <w:lang w:val="en-GB"/>
              </w:rPr>
              <w:t>T</w:t>
            </w:r>
            <w:proofErr w:type="spellEnd"/>
            <w:r w:rsidRPr="000654C2">
              <w:rPr>
                <w:sz w:val="18"/>
                <w:szCs w:val="18"/>
                <w:lang w:val="en-GB"/>
              </w:rPr>
              <w:t xml:space="preserve"> O R N E Y</w:t>
            </w:r>
          </w:p>
        </w:tc>
      </w:tr>
      <w:tr w:rsidR="00A93715" w:rsidRPr="00CA3836" w14:paraId="3B9A10EC" w14:textId="77777777" w:rsidTr="00192368">
        <w:tc>
          <w:tcPr>
            <w:tcW w:w="4962" w:type="dxa"/>
          </w:tcPr>
          <w:p w14:paraId="416B608B" w14:textId="5109EBC3" w:rsidR="00A93715" w:rsidRPr="00B64274" w:rsidRDefault="00572175" w:rsidP="009A1895">
            <w:pPr>
              <w:rPr>
                <w:rFonts w:asciiTheme="minorHAnsi" w:hAnsiTheme="minorHAnsi" w:cstheme="minorHAnsi"/>
                <w:szCs w:val="20"/>
                <w:lang w:val="sl-SI"/>
              </w:rPr>
            </w:pPr>
            <w:r w:rsidRPr="00B64274">
              <w:rPr>
                <w:rFonts w:asciiTheme="minorHAnsi" w:hAnsiTheme="minorHAnsi" w:cstheme="minorHAnsi"/>
                <w:b/>
                <w:bCs/>
                <w:szCs w:val="20"/>
                <w:highlight w:val="yellow"/>
                <w:lang w:val="sl-SI"/>
              </w:rPr>
              <w:t>Janez</w:t>
            </w:r>
            <w:r w:rsidR="009A1895" w:rsidRPr="00B64274">
              <w:rPr>
                <w:rFonts w:asciiTheme="minorHAnsi" w:hAnsiTheme="minorHAnsi" w:cstheme="minorHAnsi"/>
                <w:b/>
                <w:bCs/>
                <w:szCs w:val="20"/>
                <w:highlight w:val="yellow"/>
                <w:lang w:val="sl-SI"/>
              </w:rPr>
              <w:t xml:space="preserve"> </w:t>
            </w:r>
            <w:r w:rsidRPr="00B64274">
              <w:rPr>
                <w:rFonts w:asciiTheme="minorHAnsi" w:hAnsiTheme="minorHAnsi" w:cstheme="minorHAnsi"/>
                <w:b/>
                <w:bCs/>
                <w:szCs w:val="20"/>
                <w:highlight w:val="yellow"/>
                <w:lang w:val="sl-SI"/>
              </w:rPr>
              <w:t>Novak</w:t>
            </w:r>
            <w:r w:rsidR="009A5527" w:rsidRPr="00B64274">
              <w:rPr>
                <w:rFonts w:asciiTheme="minorHAnsi" w:hAnsiTheme="minorHAnsi" w:cstheme="minorHAnsi"/>
                <w:szCs w:val="20"/>
                <w:highlight w:val="yellow"/>
                <w:lang w:val="sl-SI"/>
              </w:rPr>
              <w:t xml:space="preserve">, </w:t>
            </w:r>
            <w:r w:rsidR="009A1895" w:rsidRPr="00B64274">
              <w:rPr>
                <w:rFonts w:asciiTheme="minorHAnsi" w:hAnsiTheme="minorHAnsi" w:cstheme="minorHAnsi"/>
                <w:szCs w:val="20"/>
                <w:highlight w:val="yellow"/>
                <w:lang w:val="sl-SI"/>
              </w:rPr>
              <w:t>S</w:t>
            </w:r>
            <w:r w:rsidRPr="00B64274">
              <w:rPr>
                <w:rFonts w:asciiTheme="minorHAnsi" w:hAnsiTheme="minorHAnsi" w:cstheme="minorHAnsi"/>
                <w:szCs w:val="20"/>
                <w:highlight w:val="yellow"/>
                <w:lang w:val="sl-SI"/>
              </w:rPr>
              <w:t>lovenska cesta 100</w:t>
            </w:r>
            <w:r w:rsidR="009A1895" w:rsidRPr="00B64274">
              <w:rPr>
                <w:rFonts w:asciiTheme="minorHAnsi" w:hAnsiTheme="minorHAnsi" w:cstheme="minorHAnsi"/>
                <w:szCs w:val="20"/>
                <w:highlight w:val="yellow"/>
                <w:lang w:val="sl-SI"/>
              </w:rPr>
              <w:t xml:space="preserve">, </w:t>
            </w:r>
            <w:r w:rsidRPr="00B64274">
              <w:rPr>
                <w:rFonts w:asciiTheme="minorHAnsi" w:hAnsiTheme="minorHAnsi" w:cstheme="minorHAnsi"/>
                <w:szCs w:val="20"/>
                <w:highlight w:val="yellow"/>
                <w:lang w:val="sl-SI"/>
              </w:rPr>
              <w:t>1000 Ljubljana</w:t>
            </w:r>
            <w:r w:rsidR="009A1895" w:rsidRPr="00B64274">
              <w:rPr>
                <w:rFonts w:asciiTheme="minorHAnsi" w:hAnsiTheme="minorHAnsi" w:cstheme="minorHAnsi"/>
                <w:szCs w:val="20"/>
                <w:highlight w:val="yellow"/>
                <w:lang w:val="sl-SI"/>
              </w:rPr>
              <w:t xml:space="preserve">, </w:t>
            </w:r>
            <w:r w:rsidRPr="00B64274">
              <w:rPr>
                <w:rFonts w:asciiTheme="minorHAnsi" w:hAnsiTheme="minorHAnsi" w:cstheme="minorHAnsi"/>
                <w:szCs w:val="20"/>
                <w:highlight w:val="yellow"/>
                <w:lang w:val="sl-SI"/>
              </w:rPr>
              <w:t>Slovenija</w:t>
            </w:r>
            <w:r w:rsidR="009A1895" w:rsidRPr="00B64274">
              <w:rPr>
                <w:rFonts w:asciiTheme="minorHAnsi" w:hAnsiTheme="minorHAnsi" w:cstheme="minorHAnsi"/>
                <w:szCs w:val="20"/>
                <w:lang w:val="sl-SI"/>
              </w:rPr>
              <w:t xml:space="preserve"> </w:t>
            </w:r>
            <w:r w:rsidR="00A93715" w:rsidRPr="00B64274">
              <w:rPr>
                <w:rFonts w:asciiTheme="minorHAnsi" w:hAnsiTheme="minorHAnsi" w:cstheme="minorHAnsi"/>
                <w:szCs w:val="20"/>
                <w:lang w:val="sl-SI"/>
              </w:rPr>
              <w:t>(„</w:t>
            </w:r>
            <w:r w:rsidR="001F7634" w:rsidRPr="00B64274">
              <w:rPr>
                <w:rFonts w:asciiTheme="minorHAnsi" w:hAnsiTheme="minorHAnsi" w:cstheme="minorHAnsi"/>
                <w:b/>
                <w:i/>
                <w:szCs w:val="20"/>
                <w:lang w:val="sl-SI"/>
              </w:rPr>
              <w:t>po</w:t>
            </w:r>
            <w:r w:rsidR="009F30B7" w:rsidRPr="00B64274">
              <w:rPr>
                <w:rFonts w:asciiTheme="minorHAnsi" w:hAnsiTheme="minorHAnsi" w:cstheme="minorHAnsi"/>
                <w:b/>
                <w:i/>
                <w:szCs w:val="20"/>
                <w:lang w:val="sl-SI"/>
              </w:rPr>
              <w:t>oblastitelj</w:t>
            </w:r>
            <w:r w:rsidR="00A93715" w:rsidRPr="00B64274">
              <w:rPr>
                <w:rFonts w:asciiTheme="minorHAnsi" w:hAnsiTheme="minorHAnsi" w:cstheme="minorHAnsi"/>
                <w:szCs w:val="20"/>
                <w:lang w:val="sl-SI"/>
              </w:rPr>
              <w:t xml:space="preserve">“), </w:t>
            </w:r>
          </w:p>
        </w:tc>
        <w:tc>
          <w:tcPr>
            <w:tcW w:w="4961" w:type="dxa"/>
          </w:tcPr>
          <w:p w14:paraId="4F639D65" w14:textId="5610E3D9" w:rsidR="001F7634" w:rsidRPr="000654C2" w:rsidRDefault="00572175" w:rsidP="000D405C">
            <w:pPr>
              <w:rPr>
                <w:bCs/>
                <w:sz w:val="18"/>
                <w:szCs w:val="18"/>
                <w:lang w:val="en-GB"/>
              </w:rPr>
            </w:pPr>
            <w:proofErr w:type="spellStart"/>
            <w:r w:rsidRPr="000654C2">
              <w:rPr>
                <w:rFonts w:asciiTheme="minorHAnsi" w:hAnsiTheme="minorHAnsi" w:cstheme="minorHAnsi"/>
                <w:b/>
                <w:bCs/>
                <w:szCs w:val="20"/>
                <w:highlight w:val="yellow"/>
                <w:lang w:val="en-GB"/>
              </w:rPr>
              <w:t>Janez</w:t>
            </w:r>
            <w:proofErr w:type="spellEnd"/>
            <w:r w:rsidRPr="000654C2">
              <w:rPr>
                <w:rFonts w:asciiTheme="minorHAnsi" w:hAnsiTheme="minorHAnsi" w:cstheme="minorHAnsi"/>
                <w:b/>
                <w:bCs/>
                <w:szCs w:val="20"/>
                <w:highlight w:val="yellow"/>
                <w:lang w:val="en-GB"/>
              </w:rPr>
              <w:t xml:space="preserve"> Novak</w:t>
            </w:r>
            <w:r w:rsidRPr="000654C2">
              <w:rPr>
                <w:rFonts w:asciiTheme="minorHAnsi" w:hAnsiTheme="minorHAnsi" w:cstheme="minorHAnsi"/>
                <w:szCs w:val="20"/>
                <w:highlight w:val="yellow"/>
                <w:lang w:val="en-GB"/>
              </w:rPr>
              <w:t xml:space="preserve">, </w:t>
            </w:r>
            <w:proofErr w:type="spellStart"/>
            <w:r w:rsidRPr="000654C2">
              <w:rPr>
                <w:rFonts w:asciiTheme="minorHAnsi" w:hAnsiTheme="minorHAnsi" w:cstheme="minorHAnsi"/>
                <w:szCs w:val="20"/>
                <w:highlight w:val="yellow"/>
                <w:lang w:val="en-GB"/>
              </w:rPr>
              <w:t>Slovenska</w:t>
            </w:r>
            <w:proofErr w:type="spellEnd"/>
            <w:r w:rsidRPr="000654C2">
              <w:rPr>
                <w:rFonts w:asciiTheme="minorHAnsi" w:hAnsiTheme="minorHAnsi" w:cstheme="minorHAnsi"/>
                <w:szCs w:val="20"/>
                <w:highlight w:val="yellow"/>
                <w:lang w:val="en-GB"/>
              </w:rPr>
              <w:t xml:space="preserve"> cesta 100, 1000 Ljubljana, Sl</w:t>
            </w:r>
            <w:r w:rsidRPr="008638E1">
              <w:rPr>
                <w:rFonts w:asciiTheme="minorHAnsi" w:hAnsiTheme="minorHAnsi" w:cstheme="minorHAnsi"/>
                <w:szCs w:val="20"/>
                <w:highlight w:val="yellow"/>
                <w:lang w:val="en-GB"/>
              </w:rPr>
              <w:t>o</w:t>
            </w:r>
            <w:r w:rsidR="008638E1" w:rsidRPr="008638E1">
              <w:rPr>
                <w:rFonts w:asciiTheme="minorHAnsi" w:hAnsiTheme="minorHAnsi" w:cstheme="minorHAnsi"/>
                <w:szCs w:val="20"/>
                <w:highlight w:val="yellow"/>
                <w:lang w:val="en-GB"/>
              </w:rPr>
              <w:t>venia</w:t>
            </w:r>
            <w:r w:rsidRPr="000654C2">
              <w:rPr>
                <w:rFonts w:asciiTheme="minorHAnsi" w:hAnsiTheme="minorHAnsi" w:cstheme="minorHAnsi"/>
                <w:szCs w:val="20"/>
                <w:lang w:val="en-GB"/>
              </w:rPr>
              <w:t xml:space="preserve"> </w:t>
            </w:r>
            <w:r w:rsidR="00A93715" w:rsidRPr="000654C2">
              <w:rPr>
                <w:sz w:val="18"/>
                <w:szCs w:val="18"/>
                <w:lang w:val="en-GB"/>
              </w:rPr>
              <w:t>(„</w:t>
            </w:r>
            <w:r w:rsidR="000654C2" w:rsidRPr="000654C2">
              <w:rPr>
                <w:b/>
                <w:i/>
                <w:sz w:val="18"/>
                <w:szCs w:val="18"/>
                <w:lang w:val="en-GB"/>
              </w:rPr>
              <w:t xml:space="preserve">the </w:t>
            </w:r>
            <w:proofErr w:type="gramStart"/>
            <w:r w:rsidR="000654C2">
              <w:rPr>
                <w:b/>
                <w:i/>
                <w:sz w:val="18"/>
                <w:szCs w:val="18"/>
                <w:lang w:val="en-GB"/>
              </w:rPr>
              <w:t>principal”</w:t>
            </w:r>
            <w:r w:rsidR="00A93715" w:rsidRPr="000654C2">
              <w:rPr>
                <w:sz w:val="18"/>
                <w:szCs w:val="18"/>
                <w:lang w:val="en-GB"/>
              </w:rPr>
              <w:t>“</w:t>
            </w:r>
            <w:proofErr w:type="gramEnd"/>
            <w:r w:rsidR="00A93715" w:rsidRPr="000654C2">
              <w:rPr>
                <w:sz w:val="18"/>
                <w:szCs w:val="18"/>
                <w:lang w:val="en-GB"/>
              </w:rPr>
              <w:t>),</w:t>
            </w:r>
          </w:p>
        </w:tc>
      </w:tr>
      <w:tr w:rsidR="00A93715" w:rsidRPr="00CA3836" w14:paraId="38E93614" w14:textId="77777777" w:rsidTr="00192368">
        <w:tc>
          <w:tcPr>
            <w:tcW w:w="4962" w:type="dxa"/>
          </w:tcPr>
          <w:p w14:paraId="2087F06C" w14:textId="77777777" w:rsidR="00350FAC" w:rsidRPr="00B64274" w:rsidRDefault="00A93715" w:rsidP="00350FAC">
            <w:pPr>
              <w:spacing w:before="240"/>
              <w:jc w:val="center"/>
              <w:rPr>
                <w:b/>
                <w:sz w:val="18"/>
                <w:szCs w:val="18"/>
                <w:lang w:val="sl-SI"/>
              </w:rPr>
            </w:pPr>
            <w:r w:rsidRPr="00B64274">
              <w:rPr>
                <w:b/>
                <w:sz w:val="18"/>
                <w:szCs w:val="18"/>
                <w:lang w:val="sl-SI"/>
              </w:rPr>
              <w:t>pooblašča</w:t>
            </w:r>
          </w:p>
        </w:tc>
        <w:tc>
          <w:tcPr>
            <w:tcW w:w="4961" w:type="dxa"/>
          </w:tcPr>
          <w:p w14:paraId="1A1F2C0A" w14:textId="09E61AFA" w:rsidR="00A93715" w:rsidRPr="000654C2" w:rsidRDefault="000654C2" w:rsidP="00CD4E95">
            <w:pPr>
              <w:pStyle w:val="Telobesedila"/>
              <w:jc w:val="center"/>
              <w:rPr>
                <w:sz w:val="18"/>
                <w:szCs w:val="18"/>
                <w:lang w:val="en-GB"/>
              </w:rPr>
            </w:pPr>
            <w:r w:rsidRPr="000654C2">
              <w:rPr>
                <w:b/>
                <w:bCs/>
                <w:sz w:val="18"/>
                <w:szCs w:val="18"/>
                <w:lang w:val="en-GB"/>
              </w:rPr>
              <w:t>authorises</w:t>
            </w:r>
          </w:p>
        </w:tc>
      </w:tr>
      <w:tr w:rsidR="003B148F" w:rsidRPr="00CA3836" w14:paraId="76562A00" w14:textId="77777777" w:rsidTr="00192368">
        <w:tc>
          <w:tcPr>
            <w:tcW w:w="4962" w:type="dxa"/>
          </w:tcPr>
          <w:p w14:paraId="65CC6AD0" w14:textId="21FA5A35" w:rsidR="003B148F" w:rsidRPr="00B64274" w:rsidRDefault="003B148F" w:rsidP="003B148F">
            <w:pPr>
              <w:pStyle w:val="Telobesedila"/>
              <w:rPr>
                <w:b/>
                <w:sz w:val="18"/>
                <w:szCs w:val="18"/>
                <w:lang w:val="sl-SI"/>
              </w:rPr>
            </w:pPr>
            <w:r w:rsidRPr="00B64274">
              <w:rPr>
                <w:b/>
                <w:i/>
                <w:sz w:val="18"/>
                <w:szCs w:val="18"/>
                <w:lang w:val="sl-SI"/>
              </w:rPr>
              <w:t>Odvetniško pisarno Leskovec, d.o.o.</w:t>
            </w:r>
            <w:r w:rsidRPr="00B64274">
              <w:rPr>
                <w:i/>
                <w:sz w:val="18"/>
                <w:szCs w:val="18"/>
                <w:lang w:val="sl-SI"/>
              </w:rPr>
              <w:t>, Slovenska cesta 27, 1000 Ljubljana, matična št. 3745414000</w:t>
            </w:r>
            <w:r w:rsidR="00A27D81" w:rsidRPr="00B64274">
              <w:rPr>
                <w:i/>
                <w:sz w:val="18"/>
                <w:szCs w:val="18"/>
                <w:lang w:val="sl-SI"/>
              </w:rPr>
              <w:t xml:space="preserve"> </w:t>
            </w:r>
            <w:r w:rsidRPr="00B64274">
              <w:rPr>
                <w:i/>
                <w:sz w:val="18"/>
                <w:szCs w:val="18"/>
                <w:lang w:val="sl-SI"/>
              </w:rPr>
              <w:t>(v nadaljevanju: »</w:t>
            </w:r>
            <w:r w:rsidRPr="00B64274">
              <w:rPr>
                <w:b/>
                <w:i/>
                <w:sz w:val="18"/>
                <w:szCs w:val="18"/>
                <w:lang w:val="sl-SI"/>
              </w:rPr>
              <w:t>pooblaščenec</w:t>
            </w:r>
            <w:r w:rsidRPr="00B64274">
              <w:rPr>
                <w:i/>
                <w:sz w:val="18"/>
                <w:szCs w:val="18"/>
                <w:lang w:val="sl-SI"/>
              </w:rPr>
              <w:t>«)</w:t>
            </w:r>
          </w:p>
        </w:tc>
        <w:tc>
          <w:tcPr>
            <w:tcW w:w="4961" w:type="dxa"/>
          </w:tcPr>
          <w:p w14:paraId="6E2AADB0" w14:textId="5D8C6F02" w:rsidR="003B148F" w:rsidRPr="000654C2" w:rsidRDefault="000654C2" w:rsidP="003B148F">
            <w:pPr>
              <w:pStyle w:val="Telobesedila"/>
              <w:rPr>
                <w:b/>
                <w:bCs/>
                <w:sz w:val="18"/>
                <w:szCs w:val="18"/>
                <w:lang w:val="en-GB"/>
              </w:rPr>
            </w:pPr>
            <w:r>
              <w:rPr>
                <w:i/>
                <w:sz w:val="18"/>
                <w:szCs w:val="18"/>
                <w:lang w:val="en-GB"/>
              </w:rPr>
              <w:t xml:space="preserve">the </w:t>
            </w:r>
            <w:r w:rsidRPr="000654C2">
              <w:rPr>
                <w:b/>
                <w:bCs/>
                <w:i/>
                <w:sz w:val="18"/>
                <w:szCs w:val="18"/>
                <w:lang w:val="en-GB"/>
              </w:rPr>
              <w:t>Law Office Leskovec LLC</w:t>
            </w:r>
            <w:r w:rsidR="003B148F" w:rsidRPr="000654C2">
              <w:rPr>
                <w:i/>
                <w:sz w:val="18"/>
                <w:szCs w:val="18"/>
                <w:lang w:val="en-GB"/>
              </w:rPr>
              <w:t xml:space="preserve">, </w:t>
            </w:r>
            <w:proofErr w:type="spellStart"/>
            <w:r w:rsidR="003B148F" w:rsidRPr="000654C2">
              <w:rPr>
                <w:i/>
                <w:sz w:val="18"/>
                <w:szCs w:val="18"/>
                <w:lang w:val="en-GB"/>
              </w:rPr>
              <w:t>Slovenska</w:t>
            </w:r>
            <w:proofErr w:type="spellEnd"/>
            <w:r w:rsidR="003B148F" w:rsidRPr="000654C2">
              <w:rPr>
                <w:i/>
                <w:sz w:val="18"/>
                <w:szCs w:val="18"/>
                <w:lang w:val="en-GB"/>
              </w:rPr>
              <w:t xml:space="preserve"> cesta 27, 1000 Ljubljana, </w:t>
            </w:r>
            <w:r>
              <w:rPr>
                <w:i/>
                <w:sz w:val="18"/>
                <w:szCs w:val="18"/>
                <w:lang w:val="en-GB"/>
              </w:rPr>
              <w:t>Reg. No.</w:t>
            </w:r>
            <w:r w:rsidR="003B148F" w:rsidRPr="000654C2">
              <w:rPr>
                <w:i/>
                <w:sz w:val="18"/>
                <w:szCs w:val="18"/>
                <w:lang w:val="en-GB"/>
              </w:rPr>
              <w:t xml:space="preserve"> 3745414000</w:t>
            </w:r>
            <w:r w:rsidR="00A27D81" w:rsidRPr="000654C2">
              <w:rPr>
                <w:i/>
                <w:sz w:val="18"/>
                <w:szCs w:val="18"/>
                <w:lang w:val="en-GB"/>
              </w:rPr>
              <w:t xml:space="preserve"> </w:t>
            </w:r>
            <w:r w:rsidR="003B148F" w:rsidRPr="000654C2">
              <w:rPr>
                <w:i/>
                <w:sz w:val="18"/>
                <w:szCs w:val="18"/>
                <w:lang w:val="en-GB"/>
              </w:rPr>
              <w:t>(»</w:t>
            </w:r>
            <w:r w:rsidRPr="000654C2">
              <w:rPr>
                <w:b/>
                <w:bCs/>
                <w:i/>
                <w:sz w:val="18"/>
                <w:szCs w:val="18"/>
                <w:lang w:val="en-GB"/>
              </w:rPr>
              <w:t xml:space="preserve">the </w:t>
            </w:r>
            <w:r w:rsidRPr="000654C2">
              <w:rPr>
                <w:b/>
                <w:bCs/>
                <w:i/>
                <w:sz w:val="18"/>
                <w:szCs w:val="18"/>
                <w:lang w:val="en-GB"/>
              </w:rPr>
              <w:t>authorized representative</w:t>
            </w:r>
            <w:r>
              <w:rPr>
                <w:sz w:val="18"/>
                <w:szCs w:val="18"/>
                <w:lang w:val="en-GB"/>
              </w:rPr>
              <w:t>”</w:t>
            </w:r>
            <w:r w:rsidR="003B148F" w:rsidRPr="000654C2">
              <w:rPr>
                <w:i/>
                <w:sz w:val="18"/>
                <w:szCs w:val="18"/>
                <w:lang w:val="en-GB"/>
              </w:rPr>
              <w:t>),</w:t>
            </w:r>
          </w:p>
        </w:tc>
      </w:tr>
      <w:tr w:rsidR="003B148F" w:rsidRPr="00CA3836" w14:paraId="1F3E7A1C" w14:textId="77777777" w:rsidTr="00192368">
        <w:tc>
          <w:tcPr>
            <w:tcW w:w="4962" w:type="dxa"/>
          </w:tcPr>
          <w:p w14:paraId="57E3F906" w14:textId="08F9B15A" w:rsidR="000654C2" w:rsidRDefault="003B148F" w:rsidP="003B148F">
            <w:pPr>
              <w:pStyle w:val="Telobesedila"/>
              <w:rPr>
                <w:sz w:val="18"/>
                <w:szCs w:val="18"/>
                <w:lang w:val="sl-SI"/>
              </w:rPr>
            </w:pPr>
            <w:r w:rsidRPr="00B64274">
              <w:rPr>
                <w:sz w:val="18"/>
                <w:szCs w:val="18"/>
                <w:lang w:val="sl-SI"/>
              </w:rPr>
              <w:t xml:space="preserve">da </w:t>
            </w:r>
            <w:r w:rsidRPr="00B64274">
              <w:rPr>
                <w:i/>
                <w:iCs/>
                <w:sz w:val="18"/>
                <w:szCs w:val="18"/>
                <w:lang w:val="sl-SI"/>
              </w:rPr>
              <w:t>pooblastitelja</w:t>
            </w:r>
            <w:r w:rsidRPr="00B64274">
              <w:rPr>
                <w:sz w:val="18"/>
                <w:szCs w:val="18"/>
                <w:lang w:val="sl-SI"/>
              </w:rPr>
              <w:t xml:space="preserve"> zastopa v vseh pravnih stvareh, sodnih in izvensodnih postopkih ter pred vsemi organi</w:t>
            </w:r>
            <w:r w:rsidR="00572175" w:rsidRPr="00B64274">
              <w:rPr>
                <w:sz w:val="18"/>
                <w:szCs w:val="18"/>
                <w:lang w:val="sl-SI"/>
              </w:rPr>
              <w:t xml:space="preserve"> v Republiki Sloveniji</w:t>
            </w:r>
            <w:r w:rsidRPr="00B64274">
              <w:rPr>
                <w:sz w:val="18"/>
                <w:szCs w:val="18"/>
                <w:lang w:val="sl-SI"/>
              </w:rPr>
              <w:t>, in v ta namen opravi vsa potrebna dejanja.</w:t>
            </w:r>
          </w:p>
          <w:p w14:paraId="0CFA866C" w14:textId="77777777" w:rsidR="00222DCC" w:rsidRDefault="00222DCC" w:rsidP="000654C2">
            <w:pPr>
              <w:rPr>
                <w:sz w:val="18"/>
                <w:szCs w:val="18"/>
                <w:lang w:val="sl-SI"/>
              </w:rPr>
            </w:pPr>
          </w:p>
          <w:p w14:paraId="629645F2" w14:textId="34DC92DA" w:rsidR="000654C2" w:rsidRPr="00B64274" w:rsidRDefault="000654C2" w:rsidP="000654C2">
            <w:pPr>
              <w:rPr>
                <w:lang w:val="sl-SI"/>
              </w:rPr>
            </w:pPr>
            <w:r w:rsidRPr="00B64274">
              <w:rPr>
                <w:sz w:val="18"/>
                <w:szCs w:val="18"/>
                <w:lang w:val="sl-SI"/>
              </w:rPr>
              <w:t xml:space="preserve">Na podlagi tega pooblastila se </w:t>
            </w:r>
            <w:r w:rsidRPr="00B64274">
              <w:rPr>
                <w:i/>
                <w:iCs/>
                <w:sz w:val="18"/>
                <w:szCs w:val="18"/>
                <w:lang w:val="sl-SI"/>
              </w:rPr>
              <w:t>pooblastitelj</w:t>
            </w:r>
            <w:r w:rsidRPr="00B64274">
              <w:rPr>
                <w:sz w:val="18"/>
                <w:szCs w:val="18"/>
                <w:lang w:val="sl-SI"/>
              </w:rPr>
              <w:t xml:space="preserve"> zavezuje, da bo priznal vse delo navedenega odvetnika za pravno veljavno.</w:t>
            </w:r>
          </w:p>
        </w:tc>
        <w:tc>
          <w:tcPr>
            <w:tcW w:w="4961" w:type="dxa"/>
          </w:tcPr>
          <w:p w14:paraId="3F5D5A00" w14:textId="4F18CF32" w:rsidR="000654C2" w:rsidRPr="000654C2" w:rsidRDefault="000654C2" w:rsidP="000654C2">
            <w:pPr>
              <w:pStyle w:val="Telobesedila"/>
              <w:rPr>
                <w:sz w:val="18"/>
                <w:szCs w:val="18"/>
                <w:lang w:val="en-GB"/>
              </w:rPr>
            </w:pPr>
            <w:r w:rsidRPr="000654C2">
              <w:rPr>
                <w:sz w:val="18"/>
                <w:szCs w:val="18"/>
                <w:lang w:val="en-GB"/>
              </w:rPr>
              <w:t xml:space="preserve">to represent the principal in all legal matters, </w:t>
            </w:r>
            <w:r>
              <w:rPr>
                <w:sz w:val="18"/>
                <w:szCs w:val="18"/>
                <w:lang w:val="en-GB"/>
              </w:rPr>
              <w:t>court</w:t>
            </w:r>
            <w:r w:rsidRPr="000654C2">
              <w:rPr>
                <w:sz w:val="18"/>
                <w:szCs w:val="18"/>
                <w:lang w:val="en-GB"/>
              </w:rPr>
              <w:t xml:space="preserve"> and </w:t>
            </w:r>
            <w:r>
              <w:rPr>
                <w:sz w:val="18"/>
                <w:szCs w:val="18"/>
                <w:lang w:val="en-GB"/>
              </w:rPr>
              <w:t>out of court</w:t>
            </w:r>
            <w:r w:rsidRPr="000654C2">
              <w:rPr>
                <w:sz w:val="18"/>
                <w:szCs w:val="18"/>
                <w:lang w:val="en-GB"/>
              </w:rPr>
              <w:t xml:space="preserve"> proceedings and before all bodies in the Republic of Slovenia, and for all necessary actions in this regard.</w:t>
            </w:r>
          </w:p>
          <w:p w14:paraId="7B528C6F" w14:textId="2C4FB5AE" w:rsidR="000654C2" w:rsidRPr="000654C2" w:rsidRDefault="000654C2" w:rsidP="000654C2">
            <w:pPr>
              <w:pStyle w:val="Telobesedila"/>
              <w:rPr>
                <w:sz w:val="18"/>
                <w:szCs w:val="18"/>
                <w:lang w:val="en-GB"/>
              </w:rPr>
            </w:pPr>
            <w:r w:rsidRPr="000654C2">
              <w:rPr>
                <w:sz w:val="18"/>
                <w:szCs w:val="18"/>
                <w:lang w:val="en-GB"/>
              </w:rPr>
              <w:t xml:space="preserve">Based on the power of attorney granted, the </w:t>
            </w:r>
            <w:r>
              <w:rPr>
                <w:sz w:val="18"/>
                <w:szCs w:val="18"/>
                <w:lang w:val="en-GB"/>
              </w:rPr>
              <w:t>pri</w:t>
            </w:r>
            <w:r w:rsidR="00222DCC">
              <w:rPr>
                <w:sz w:val="18"/>
                <w:szCs w:val="18"/>
                <w:lang w:val="en-GB"/>
              </w:rPr>
              <w:t>n</w:t>
            </w:r>
            <w:r>
              <w:rPr>
                <w:sz w:val="18"/>
                <w:szCs w:val="18"/>
                <w:lang w:val="en-GB"/>
              </w:rPr>
              <w:t>cipal</w:t>
            </w:r>
            <w:r w:rsidRPr="000654C2">
              <w:rPr>
                <w:sz w:val="18"/>
                <w:szCs w:val="18"/>
                <w:lang w:val="en-GB"/>
              </w:rPr>
              <w:t xml:space="preserve"> undertakes to recognize the actions of the named authorized representative as legally valid.</w:t>
            </w:r>
          </w:p>
          <w:p w14:paraId="3A06502C" w14:textId="50D0712B" w:rsidR="003B148F" w:rsidRPr="000654C2" w:rsidRDefault="003B148F" w:rsidP="003B148F">
            <w:pPr>
              <w:pStyle w:val="Telobesedila"/>
              <w:rPr>
                <w:sz w:val="18"/>
                <w:szCs w:val="18"/>
                <w:lang w:val="en-GB"/>
              </w:rPr>
            </w:pPr>
          </w:p>
        </w:tc>
      </w:tr>
      <w:tr w:rsidR="003B148F" w:rsidRPr="00CA3836" w14:paraId="590757D6" w14:textId="77777777" w:rsidTr="00192368">
        <w:tc>
          <w:tcPr>
            <w:tcW w:w="4962" w:type="dxa"/>
          </w:tcPr>
          <w:p w14:paraId="4F67D57D" w14:textId="77777777" w:rsidR="000654C2" w:rsidRPr="00B64274" w:rsidRDefault="000654C2" w:rsidP="000654C2">
            <w:pPr>
              <w:pStyle w:val="Telobesedila"/>
              <w:rPr>
                <w:sz w:val="18"/>
                <w:szCs w:val="18"/>
                <w:lang w:val="sl-SI"/>
              </w:rPr>
            </w:pPr>
            <w:r w:rsidRPr="00B64274">
              <w:rPr>
                <w:sz w:val="18"/>
                <w:szCs w:val="18"/>
                <w:lang w:val="sl-SI"/>
              </w:rPr>
              <w:t xml:space="preserve">Pri zastopanju </w:t>
            </w:r>
            <w:r w:rsidRPr="00B64274">
              <w:rPr>
                <w:i/>
                <w:sz w:val="18"/>
                <w:szCs w:val="18"/>
                <w:lang w:val="sl-SI"/>
              </w:rPr>
              <w:t>pooblastitelja</w:t>
            </w:r>
            <w:r w:rsidRPr="00B64274">
              <w:rPr>
                <w:sz w:val="18"/>
                <w:szCs w:val="18"/>
                <w:lang w:val="sl-SI"/>
              </w:rPr>
              <w:t xml:space="preserve"> lahko odvetnika Vida Leskovca in odvetnico Polono Bregar nadomeščajo odvetnik, zaposlen v isti odvetniški pisarni oz. družbi, in v mejah zakona odvetniški kandidat ali odvetniški pripravnik, ki je zaposlen v isti odvetniški pisarni oz. družbi. Pooblaščenec lahko za zastopanje pooblašča naprej druge, zunanje, odvetnike.</w:t>
            </w:r>
          </w:p>
          <w:p w14:paraId="3ADF3AA5" w14:textId="5BDED982" w:rsidR="003B148F" w:rsidRPr="00B64274" w:rsidRDefault="000654C2" w:rsidP="003B148F">
            <w:pPr>
              <w:pStyle w:val="Telobesedila"/>
              <w:rPr>
                <w:sz w:val="18"/>
                <w:szCs w:val="18"/>
                <w:lang w:val="sl-SI"/>
              </w:rPr>
            </w:pPr>
            <w:r w:rsidRPr="00B64274">
              <w:rPr>
                <w:sz w:val="18"/>
                <w:szCs w:val="18"/>
                <w:lang w:val="sl-SI"/>
              </w:rPr>
              <w:t xml:space="preserve">Za reševanje vseh sporov, ki utegnejo nastati iz tega pooblastilnega razmerja se </w:t>
            </w:r>
            <w:r w:rsidRPr="00B64274">
              <w:rPr>
                <w:i/>
                <w:iCs/>
                <w:sz w:val="18"/>
                <w:szCs w:val="18"/>
                <w:lang w:val="sl-SI"/>
              </w:rPr>
              <w:t>pooblastitelj</w:t>
            </w:r>
            <w:r w:rsidRPr="00B64274">
              <w:rPr>
                <w:sz w:val="18"/>
                <w:szCs w:val="18"/>
                <w:lang w:val="sl-SI"/>
              </w:rPr>
              <w:t xml:space="preserve"> in pooblaščenec dogovorita za pristojnost sodišča odvisno od sedeža pooblaščenca. Za presojo pravnega razmerja se uporablja slovensko pravo.</w:t>
            </w:r>
          </w:p>
        </w:tc>
        <w:tc>
          <w:tcPr>
            <w:tcW w:w="4961" w:type="dxa"/>
          </w:tcPr>
          <w:p w14:paraId="329F210A" w14:textId="56062CE4" w:rsidR="000654C2" w:rsidRPr="000654C2" w:rsidRDefault="000654C2" w:rsidP="000654C2">
            <w:pPr>
              <w:pStyle w:val="Telobesedila"/>
              <w:rPr>
                <w:iCs/>
                <w:sz w:val="18"/>
                <w:szCs w:val="18"/>
                <w:lang w:val="en-GB"/>
              </w:rPr>
            </w:pPr>
            <w:r w:rsidRPr="000654C2">
              <w:rPr>
                <w:iCs/>
                <w:sz w:val="18"/>
                <w:szCs w:val="18"/>
                <w:lang w:val="en-GB"/>
              </w:rPr>
              <w:t xml:space="preserve">When representing the principal, the lawyer Vid Leskovec and the lawyer Polona Bregar can be represented by the lawyer employed in the same law firm or company, and within the limits of the law, the lawyer candidate or trainee lawyer employed in the same law firm or company. The authorized representative can further authorize other, external lawyers. </w:t>
            </w:r>
          </w:p>
          <w:p w14:paraId="20D9A7CE" w14:textId="19D9C40A" w:rsidR="003B148F" w:rsidRPr="000654C2" w:rsidRDefault="000654C2" w:rsidP="003B148F">
            <w:pPr>
              <w:pStyle w:val="Telobesedila"/>
              <w:rPr>
                <w:iCs/>
                <w:sz w:val="18"/>
                <w:szCs w:val="18"/>
                <w:lang w:val="en-GB"/>
              </w:rPr>
            </w:pPr>
            <w:r w:rsidRPr="000654C2">
              <w:rPr>
                <w:iCs/>
                <w:sz w:val="18"/>
                <w:szCs w:val="18"/>
                <w:lang w:val="en-GB"/>
              </w:rPr>
              <w:t xml:space="preserve">For the settlement of all disputes that may arise from this power of attorney relationship, the </w:t>
            </w:r>
            <w:r>
              <w:rPr>
                <w:iCs/>
                <w:sz w:val="18"/>
                <w:szCs w:val="18"/>
                <w:lang w:val="en-GB"/>
              </w:rPr>
              <w:t>principal</w:t>
            </w:r>
            <w:r w:rsidRPr="000654C2">
              <w:rPr>
                <w:iCs/>
                <w:sz w:val="18"/>
                <w:szCs w:val="18"/>
                <w:lang w:val="en-GB"/>
              </w:rPr>
              <w:t xml:space="preserve"> and the authorized representative agree on the jurisdiction of the court depending on the registered office of the authorized representative. Slovenian law applies to this legal relationship.</w:t>
            </w:r>
          </w:p>
        </w:tc>
      </w:tr>
      <w:tr w:rsidR="003B148F" w:rsidRPr="00CA3836" w14:paraId="776F8508" w14:textId="77777777" w:rsidTr="00192368">
        <w:tc>
          <w:tcPr>
            <w:tcW w:w="4962" w:type="dxa"/>
          </w:tcPr>
          <w:p w14:paraId="272103C0" w14:textId="7B6F15EC" w:rsidR="003B148F" w:rsidRPr="00B64274" w:rsidRDefault="003B148F" w:rsidP="003B148F">
            <w:pPr>
              <w:pStyle w:val="Telobesedila"/>
              <w:rPr>
                <w:sz w:val="18"/>
                <w:szCs w:val="18"/>
                <w:lang w:val="sl-SI"/>
              </w:rPr>
            </w:pPr>
            <w:r w:rsidRPr="00B64274">
              <w:rPr>
                <w:sz w:val="18"/>
                <w:szCs w:val="18"/>
                <w:lang w:val="sl-SI"/>
              </w:rPr>
              <w:t>V primeru dvoma oz. nejasnosti pri razlagi tega pooblastila prevlada besedilo v slovenskem jeziku.</w:t>
            </w:r>
          </w:p>
        </w:tc>
        <w:tc>
          <w:tcPr>
            <w:tcW w:w="4961" w:type="dxa"/>
          </w:tcPr>
          <w:p w14:paraId="0F8CD814" w14:textId="77777777" w:rsidR="000654C2" w:rsidRPr="000654C2" w:rsidRDefault="000654C2" w:rsidP="000654C2">
            <w:pPr>
              <w:pStyle w:val="Telobesedila"/>
              <w:rPr>
                <w:sz w:val="18"/>
                <w:szCs w:val="18"/>
                <w:lang w:val="en-GB"/>
              </w:rPr>
            </w:pPr>
            <w:r w:rsidRPr="000654C2">
              <w:rPr>
                <w:sz w:val="18"/>
                <w:szCs w:val="18"/>
                <w:lang w:val="en-GB"/>
              </w:rPr>
              <w:t>In the event of doubt or ambiguity in the interpretation of this power of attorney, the wording in Slovenian shall prevail.</w:t>
            </w:r>
          </w:p>
          <w:p w14:paraId="3899982B" w14:textId="49893683" w:rsidR="0091364E" w:rsidRPr="000654C2" w:rsidRDefault="0091364E" w:rsidP="003B148F">
            <w:pPr>
              <w:pStyle w:val="Telobesedila"/>
              <w:rPr>
                <w:sz w:val="18"/>
                <w:szCs w:val="18"/>
                <w:lang w:val="en-GB"/>
              </w:rPr>
            </w:pPr>
          </w:p>
        </w:tc>
      </w:tr>
      <w:tr w:rsidR="00A93715" w:rsidRPr="00CA3836" w14:paraId="3A4CADB3" w14:textId="77777777" w:rsidTr="00192368">
        <w:tc>
          <w:tcPr>
            <w:tcW w:w="4962" w:type="dxa"/>
          </w:tcPr>
          <w:p w14:paraId="0C4F74D4" w14:textId="5DFD8CC8" w:rsidR="001F7634" w:rsidRPr="00B64274" w:rsidRDefault="00CA3836" w:rsidP="00CD4E95">
            <w:pPr>
              <w:keepNext/>
              <w:tabs>
                <w:tab w:val="left" w:pos="4140"/>
              </w:tabs>
              <w:spacing w:before="120"/>
              <w:rPr>
                <w:sz w:val="18"/>
                <w:szCs w:val="18"/>
                <w:highlight w:val="yellow"/>
                <w:lang w:val="sl-SI"/>
              </w:rPr>
            </w:pPr>
            <w:r w:rsidRPr="00B64274">
              <w:rPr>
                <w:sz w:val="18"/>
                <w:szCs w:val="18"/>
                <w:highlight w:val="yellow"/>
                <w:lang w:val="sl-SI"/>
              </w:rPr>
              <w:t xml:space="preserve">Datum: </w:t>
            </w:r>
            <w:r w:rsidR="00410C62" w:rsidRPr="00B64274">
              <w:rPr>
                <w:sz w:val="18"/>
                <w:szCs w:val="18"/>
                <w:highlight w:val="yellow"/>
                <w:lang w:val="sl-SI"/>
              </w:rPr>
              <w:t>____________</w:t>
            </w:r>
          </w:p>
          <w:p w14:paraId="5F41924D" w14:textId="77777777" w:rsidR="00722669" w:rsidRPr="00B64274" w:rsidRDefault="00722669" w:rsidP="00722669">
            <w:pPr>
              <w:keepNext/>
              <w:tabs>
                <w:tab w:val="left" w:pos="4140"/>
              </w:tabs>
              <w:rPr>
                <w:sz w:val="18"/>
                <w:szCs w:val="18"/>
                <w:highlight w:val="yellow"/>
                <w:lang w:val="sl-SI"/>
              </w:rPr>
            </w:pPr>
          </w:p>
          <w:p w14:paraId="71967108" w14:textId="77777777" w:rsidR="00C162B9" w:rsidRPr="00B64274" w:rsidRDefault="00C162B9" w:rsidP="00722669">
            <w:pPr>
              <w:keepNext/>
              <w:tabs>
                <w:tab w:val="left" w:pos="4140"/>
              </w:tabs>
              <w:rPr>
                <w:sz w:val="18"/>
                <w:szCs w:val="18"/>
                <w:highlight w:val="yellow"/>
                <w:lang w:val="sl-SI"/>
              </w:rPr>
            </w:pPr>
          </w:p>
          <w:p w14:paraId="337B30AD" w14:textId="77777777" w:rsidR="00A93715" w:rsidRPr="00B64274" w:rsidRDefault="00722669" w:rsidP="00CD4E95">
            <w:pPr>
              <w:keepNext/>
              <w:tabs>
                <w:tab w:val="left" w:pos="4140"/>
              </w:tabs>
              <w:spacing w:before="120"/>
              <w:rPr>
                <w:sz w:val="18"/>
                <w:szCs w:val="18"/>
                <w:highlight w:val="yellow"/>
                <w:lang w:val="sl-SI"/>
              </w:rPr>
            </w:pPr>
            <w:r w:rsidRPr="00B64274">
              <w:rPr>
                <w:sz w:val="18"/>
                <w:szCs w:val="18"/>
                <w:highlight w:val="yellow"/>
                <w:lang w:val="sl-SI"/>
              </w:rPr>
              <w:t>____________________</w:t>
            </w:r>
            <w:r w:rsidR="00F469F6" w:rsidRPr="00B64274">
              <w:rPr>
                <w:sz w:val="18"/>
                <w:szCs w:val="18"/>
                <w:highlight w:val="yellow"/>
                <w:lang w:val="sl-SI"/>
              </w:rPr>
              <w:t>________</w:t>
            </w:r>
            <w:r w:rsidR="00A93715" w:rsidRPr="00B64274">
              <w:rPr>
                <w:sz w:val="18"/>
                <w:szCs w:val="18"/>
                <w:highlight w:val="yellow"/>
                <w:lang w:val="sl-SI"/>
              </w:rPr>
              <w:tab/>
            </w:r>
          </w:p>
          <w:p w14:paraId="18071E90" w14:textId="46022B09" w:rsidR="00A93715" w:rsidRPr="00B64274" w:rsidRDefault="00572175" w:rsidP="00B34F17">
            <w:pPr>
              <w:pStyle w:val="Golobesedilo"/>
              <w:rPr>
                <w:rFonts w:ascii="Arial" w:hAnsi="Arial" w:cs="Arial"/>
                <w:sz w:val="18"/>
                <w:szCs w:val="18"/>
                <w:highlight w:val="yellow"/>
                <w:lang w:val="sl-SI"/>
              </w:rPr>
            </w:pPr>
            <w:r w:rsidRPr="00B64274">
              <w:rPr>
                <w:rFonts w:asciiTheme="minorHAnsi" w:hAnsiTheme="minorHAnsi" w:cstheme="minorHAnsi"/>
                <w:b/>
                <w:bCs/>
                <w:highlight w:val="yellow"/>
                <w:lang w:val="sl-SI"/>
              </w:rPr>
              <w:t>Janez Novak</w:t>
            </w:r>
          </w:p>
        </w:tc>
        <w:tc>
          <w:tcPr>
            <w:tcW w:w="4961" w:type="dxa"/>
          </w:tcPr>
          <w:p w14:paraId="642C3940" w14:textId="41F22664" w:rsidR="001F7634" w:rsidRPr="000654C2" w:rsidRDefault="00CA3836" w:rsidP="009F30B7">
            <w:pPr>
              <w:keepNext/>
              <w:tabs>
                <w:tab w:val="left" w:pos="4140"/>
              </w:tabs>
              <w:spacing w:before="120"/>
              <w:rPr>
                <w:sz w:val="18"/>
                <w:szCs w:val="18"/>
                <w:highlight w:val="yellow"/>
                <w:lang w:val="en-GB"/>
              </w:rPr>
            </w:pPr>
            <w:r w:rsidRPr="000654C2">
              <w:rPr>
                <w:sz w:val="18"/>
                <w:szCs w:val="18"/>
                <w:highlight w:val="yellow"/>
                <w:lang w:val="en-GB"/>
              </w:rPr>
              <w:t>D</w:t>
            </w:r>
            <w:r w:rsidR="000654C2" w:rsidRPr="000654C2">
              <w:rPr>
                <w:sz w:val="18"/>
                <w:szCs w:val="18"/>
                <w:highlight w:val="yellow"/>
                <w:lang w:val="en-GB"/>
              </w:rPr>
              <w:t>ate</w:t>
            </w:r>
            <w:r w:rsidRPr="000654C2">
              <w:rPr>
                <w:sz w:val="18"/>
                <w:szCs w:val="18"/>
                <w:highlight w:val="yellow"/>
                <w:lang w:val="en-GB"/>
              </w:rPr>
              <w:t xml:space="preserve">: </w:t>
            </w:r>
            <w:r w:rsidR="00410C62" w:rsidRPr="000654C2">
              <w:rPr>
                <w:sz w:val="18"/>
                <w:szCs w:val="18"/>
                <w:highlight w:val="yellow"/>
                <w:lang w:val="en-GB"/>
              </w:rPr>
              <w:t>____________</w:t>
            </w:r>
          </w:p>
          <w:p w14:paraId="0F9D3C45" w14:textId="77777777" w:rsidR="00CA3836" w:rsidRPr="000654C2" w:rsidRDefault="00CA3836" w:rsidP="00722669">
            <w:pPr>
              <w:keepNext/>
              <w:tabs>
                <w:tab w:val="left" w:pos="4140"/>
              </w:tabs>
              <w:rPr>
                <w:sz w:val="18"/>
                <w:szCs w:val="18"/>
                <w:highlight w:val="yellow"/>
                <w:lang w:val="en-GB"/>
              </w:rPr>
            </w:pPr>
          </w:p>
          <w:p w14:paraId="1E1DEBC0" w14:textId="77777777" w:rsidR="00722669" w:rsidRPr="000654C2" w:rsidRDefault="00722669" w:rsidP="00722669">
            <w:pPr>
              <w:keepNext/>
              <w:tabs>
                <w:tab w:val="left" w:pos="4140"/>
              </w:tabs>
              <w:rPr>
                <w:sz w:val="18"/>
                <w:szCs w:val="18"/>
                <w:highlight w:val="yellow"/>
                <w:lang w:val="en-GB"/>
              </w:rPr>
            </w:pPr>
          </w:p>
          <w:p w14:paraId="7CE9DF91" w14:textId="77777777" w:rsidR="009F30B7" w:rsidRPr="000654C2" w:rsidRDefault="00F469F6" w:rsidP="009F30B7">
            <w:pPr>
              <w:keepNext/>
              <w:tabs>
                <w:tab w:val="left" w:pos="4140"/>
              </w:tabs>
              <w:spacing w:before="120"/>
              <w:rPr>
                <w:sz w:val="18"/>
                <w:szCs w:val="18"/>
                <w:highlight w:val="yellow"/>
                <w:lang w:val="en-GB"/>
              </w:rPr>
            </w:pPr>
            <w:r w:rsidRPr="000654C2">
              <w:rPr>
                <w:sz w:val="18"/>
                <w:szCs w:val="18"/>
                <w:highlight w:val="yellow"/>
                <w:lang w:val="en-GB"/>
              </w:rPr>
              <w:t>__________________________</w:t>
            </w:r>
            <w:r w:rsidR="009F30B7" w:rsidRPr="000654C2">
              <w:rPr>
                <w:sz w:val="18"/>
                <w:szCs w:val="18"/>
                <w:highlight w:val="yellow"/>
                <w:lang w:val="en-GB"/>
              </w:rPr>
              <w:tab/>
            </w:r>
          </w:p>
          <w:p w14:paraId="3332AE12" w14:textId="3AF286EC" w:rsidR="003648F8" w:rsidRPr="000654C2" w:rsidRDefault="00572175" w:rsidP="00B34F17">
            <w:pPr>
              <w:pStyle w:val="Golobesedilo"/>
              <w:rPr>
                <w:rFonts w:ascii="Arial" w:hAnsi="Arial" w:cs="Arial"/>
                <w:sz w:val="18"/>
                <w:szCs w:val="18"/>
                <w:lang w:val="en-GB"/>
              </w:rPr>
            </w:pPr>
            <w:proofErr w:type="spellStart"/>
            <w:r w:rsidRPr="000654C2">
              <w:rPr>
                <w:rFonts w:asciiTheme="minorHAnsi" w:hAnsiTheme="minorHAnsi" w:cstheme="minorHAnsi"/>
                <w:b/>
                <w:bCs/>
                <w:highlight w:val="yellow"/>
                <w:lang w:val="en-GB"/>
              </w:rPr>
              <w:t>Janze</w:t>
            </w:r>
            <w:proofErr w:type="spellEnd"/>
            <w:r w:rsidRPr="000654C2">
              <w:rPr>
                <w:rFonts w:asciiTheme="minorHAnsi" w:hAnsiTheme="minorHAnsi" w:cstheme="minorHAnsi"/>
                <w:b/>
                <w:bCs/>
                <w:highlight w:val="yellow"/>
                <w:lang w:val="en-GB"/>
              </w:rPr>
              <w:t xml:space="preserve"> Novak</w:t>
            </w:r>
          </w:p>
        </w:tc>
      </w:tr>
      <w:tr w:rsidR="00A93715" w:rsidRPr="00CA3836" w14:paraId="25355788" w14:textId="77777777" w:rsidTr="00192368">
        <w:trPr>
          <w:trHeight w:val="80"/>
        </w:trPr>
        <w:tc>
          <w:tcPr>
            <w:tcW w:w="4962" w:type="dxa"/>
          </w:tcPr>
          <w:p w14:paraId="2AB0789B" w14:textId="77777777" w:rsidR="00A93715" w:rsidRPr="00B64274" w:rsidRDefault="00A93715" w:rsidP="00CD4E95">
            <w:pPr>
              <w:keepNext/>
              <w:tabs>
                <w:tab w:val="left" w:pos="4140"/>
              </w:tabs>
              <w:rPr>
                <w:sz w:val="18"/>
                <w:szCs w:val="18"/>
                <w:lang w:val="sl-SI"/>
              </w:rPr>
            </w:pPr>
          </w:p>
        </w:tc>
        <w:tc>
          <w:tcPr>
            <w:tcW w:w="4961" w:type="dxa"/>
          </w:tcPr>
          <w:p w14:paraId="4F0F9E36" w14:textId="77777777" w:rsidR="00A93715" w:rsidRPr="000654C2" w:rsidRDefault="00A93715" w:rsidP="00CD4E95">
            <w:pPr>
              <w:rPr>
                <w:sz w:val="18"/>
                <w:szCs w:val="18"/>
                <w:lang w:val="en-GB"/>
              </w:rPr>
            </w:pPr>
          </w:p>
        </w:tc>
      </w:tr>
    </w:tbl>
    <w:p w14:paraId="65D902A0" w14:textId="77777777" w:rsidR="00E72E34" w:rsidRPr="00722669" w:rsidRDefault="00E72E34" w:rsidP="00B34F17"/>
    <w:sectPr w:rsidR="00E72E34" w:rsidRPr="00722669" w:rsidSect="00722669">
      <w:headerReference w:type="default" r:id="rId6"/>
      <w:footerReference w:type="default" r:id="rId7"/>
      <w:footerReference w:type="first" r:id="rId8"/>
      <w:pgSz w:w="11906" w:h="16838" w:code="9"/>
      <w:pgMar w:top="993" w:right="1701" w:bottom="1276" w:left="1701" w:header="1021" w:footer="96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2B1C9A" w14:textId="77777777" w:rsidR="00FC744D" w:rsidRDefault="00FC744D">
      <w:pPr>
        <w:spacing w:line="240" w:lineRule="auto"/>
      </w:pPr>
      <w:r>
        <w:separator/>
      </w:r>
    </w:p>
  </w:endnote>
  <w:endnote w:type="continuationSeparator" w:id="0">
    <w:p w14:paraId="55E8D3DC" w14:textId="77777777" w:rsidR="00FC744D" w:rsidRDefault="00FC74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20E9B6" w14:textId="77777777" w:rsidR="00860FE0" w:rsidRDefault="00A93715">
    <w:pPr>
      <w:pStyle w:val="Noga"/>
      <w:spacing w:before="240"/>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044AA4" w14:textId="77777777" w:rsidR="00860FE0" w:rsidRDefault="00A93715">
    <w:pPr>
      <w:pStyle w:val="Noga"/>
      <w:spacing w:before="240"/>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9B303C" w14:textId="77777777" w:rsidR="00FC744D" w:rsidRDefault="00FC744D">
      <w:pPr>
        <w:spacing w:line="240" w:lineRule="auto"/>
      </w:pPr>
      <w:r>
        <w:separator/>
      </w:r>
    </w:p>
  </w:footnote>
  <w:footnote w:type="continuationSeparator" w:id="0">
    <w:p w14:paraId="6D6BE5BF" w14:textId="77777777" w:rsidR="00FC744D" w:rsidRDefault="00FC744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B021DB" w14:textId="77777777" w:rsidR="00860FE0" w:rsidRDefault="00A93715">
    <w:pPr>
      <w:pStyle w:val="Glava"/>
      <w:rPr>
        <w:lang w:val="en-US"/>
      </w:rPr>
    </w:pPr>
    <w:r>
      <w:rPr>
        <w:lang w:val="en-US"/>
      </w:rPr>
      <w:t xml:space="preserve">- </w:t>
    </w:r>
    <w:r w:rsidR="00503C85">
      <w:rPr>
        <w:rStyle w:val="tevilkastrani"/>
      </w:rPr>
      <w:fldChar w:fldCharType="begin"/>
    </w:r>
    <w:r>
      <w:rPr>
        <w:rStyle w:val="tevilkastrani"/>
      </w:rPr>
      <w:instrText xml:space="preserve"> PAGE </w:instrText>
    </w:r>
    <w:r w:rsidR="00503C85">
      <w:rPr>
        <w:rStyle w:val="tevilkastrani"/>
      </w:rPr>
      <w:fldChar w:fldCharType="separate"/>
    </w:r>
    <w:r w:rsidR="00AB1F36">
      <w:rPr>
        <w:rStyle w:val="tevilkastrani"/>
        <w:noProof/>
      </w:rPr>
      <w:t>2</w:t>
    </w:r>
    <w:r w:rsidR="00503C85">
      <w:rPr>
        <w:rStyle w:val="tevilkastrani"/>
      </w:rPr>
      <w:fldChar w:fldCharType="end"/>
    </w:r>
    <w:r w:rsidR="00F469F6">
      <w:rPr>
        <w:rStyle w:val="tevilkastrani"/>
      </w:rPr>
      <w:t>/2</w:t>
    </w:r>
    <w:r>
      <w:t xml:space="preserve"> </w:t>
    </w:r>
    <w:r>
      <w:rPr>
        <w:rStyle w:val="tevilkastrani"/>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3715"/>
    <w:rsid w:val="000654C2"/>
    <w:rsid w:val="00090274"/>
    <w:rsid w:val="000D405C"/>
    <w:rsid w:val="00101F4E"/>
    <w:rsid w:val="00192368"/>
    <w:rsid w:val="001F7634"/>
    <w:rsid w:val="00222DCC"/>
    <w:rsid w:val="0025166F"/>
    <w:rsid w:val="00272E58"/>
    <w:rsid w:val="00313371"/>
    <w:rsid w:val="00314416"/>
    <w:rsid w:val="00323911"/>
    <w:rsid w:val="00350FAC"/>
    <w:rsid w:val="003648F8"/>
    <w:rsid w:val="00366110"/>
    <w:rsid w:val="00375A36"/>
    <w:rsid w:val="003A388A"/>
    <w:rsid w:val="003B148F"/>
    <w:rsid w:val="003B6C6A"/>
    <w:rsid w:val="003D659C"/>
    <w:rsid w:val="00410C62"/>
    <w:rsid w:val="004561FE"/>
    <w:rsid w:val="00461696"/>
    <w:rsid w:val="004826D3"/>
    <w:rsid w:val="004C185F"/>
    <w:rsid w:val="004E34F7"/>
    <w:rsid w:val="004F7C25"/>
    <w:rsid w:val="00503C85"/>
    <w:rsid w:val="00562B91"/>
    <w:rsid w:val="00572175"/>
    <w:rsid w:val="005B5752"/>
    <w:rsid w:val="00672F4E"/>
    <w:rsid w:val="006E457E"/>
    <w:rsid w:val="00722669"/>
    <w:rsid w:val="00736693"/>
    <w:rsid w:val="00743CB4"/>
    <w:rsid w:val="00764904"/>
    <w:rsid w:val="007A6C28"/>
    <w:rsid w:val="007C5ABE"/>
    <w:rsid w:val="00840F68"/>
    <w:rsid w:val="00860FE0"/>
    <w:rsid w:val="008638E1"/>
    <w:rsid w:val="008E43FE"/>
    <w:rsid w:val="0091364E"/>
    <w:rsid w:val="009A1895"/>
    <w:rsid w:val="009A5527"/>
    <w:rsid w:val="009B5A26"/>
    <w:rsid w:val="009F30B7"/>
    <w:rsid w:val="00A27D81"/>
    <w:rsid w:val="00A93715"/>
    <w:rsid w:val="00A95D5D"/>
    <w:rsid w:val="00AB1F36"/>
    <w:rsid w:val="00B24597"/>
    <w:rsid w:val="00B25501"/>
    <w:rsid w:val="00B34F17"/>
    <w:rsid w:val="00B64274"/>
    <w:rsid w:val="00BB4679"/>
    <w:rsid w:val="00C162B9"/>
    <w:rsid w:val="00C53E1D"/>
    <w:rsid w:val="00CA3836"/>
    <w:rsid w:val="00CA5018"/>
    <w:rsid w:val="00CC24BD"/>
    <w:rsid w:val="00D158ED"/>
    <w:rsid w:val="00D61AFC"/>
    <w:rsid w:val="00E033D0"/>
    <w:rsid w:val="00E72E34"/>
    <w:rsid w:val="00F469F6"/>
    <w:rsid w:val="00FA191C"/>
    <w:rsid w:val="00FC744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2B47B1"/>
  <w15:docId w15:val="{4FBC75C0-AE7C-4AC6-8FE4-68F225CA3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A93715"/>
    <w:pPr>
      <w:spacing w:after="0" w:line="280" w:lineRule="atLeast"/>
      <w:jc w:val="both"/>
    </w:pPr>
    <w:rPr>
      <w:rFonts w:ascii="Arial" w:eastAsia="Times New Roman" w:hAnsi="Arial" w:cs="Arial"/>
      <w:spacing w:val="4"/>
      <w:sz w:val="20"/>
      <w:szCs w:val="24"/>
      <w:lang w:val="de-AT"/>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basedOn w:val="Navaden"/>
    <w:link w:val="TelobesedilaZnak"/>
    <w:rsid w:val="00A93715"/>
    <w:pPr>
      <w:spacing w:before="240"/>
    </w:pPr>
  </w:style>
  <w:style w:type="character" w:customStyle="1" w:styleId="TelobesedilaZnak">
    <w:name w:val="Telo besedila Znak"/>
    <w:basedOn w:val="Privzetapisavaodstavka"/>
    <w:link w:val="Telobesedila"/>
    <w:rsid w:val="00A93715"/>
    <w:rPr>
      <w:rFonts w:ascii="Arial" w:eastAsia="Times New Roman" w:hAnsi="Arial" w:cs="Arial"/>
      <w:spacing w:val="4"/>
      <w:sz w:val="20"/>
      <w:szCs w:val="24"/>
      <w:lang w:val="de-AT"/>
    </w:rPr>
  </w:style>
  <w:style w:type="paragraph" w:styleId="Noga">
    <w:name w:val="footer"/>
    <w:basedOn w:val="Navaden"/>
    <w:link w:val="NogaZnak"/>
    <w:rsid w:val="00A93715"/>
    <w:pPr>
      <w:tabs>
        <w:tab w:val="right" w:pos="8505"/>
      </w:tabs>
      <w:spacing w:line="180" w:lineRule="atLeast"/>
    </w:pPr>
    <w:rPr>
      <w:noProof/>
      <w:sz w:val="14"/>
    </w:rPr>
  </w:style>
  <w:style w:type="character" w:customStyle="1" w:styleId="NogaZnak">
    <w:name w:val="Noga Znak"/>
    <w:basedOn w:val="Privzetapisavaodstavka"/>
    <w:link w:val="Noga"/>
    <w:rsid w:val="00A93715"/>
    <w:rPr>
      <w:rFonts w:ascii="Arial" w:eastAsia="Times New Roman" w:hAnsi="Arial" w:cs="Arial"/>
      <w:noProof/>
      <w:spacing w:val="4"/>
      <w:sz w:val="14"/>
      <w:szCs w:val="24"/>
      <w:lang w:val="de-AT"/>
    </w:rPr>
  </w:style>
  <w:style w:type="paragraph" w:styleId="Glava">
    <w:name w:val="header"/>
    <w:basedOn w:val="Navaden"/>
    <w:link w:val="GlavaZnak"/>
    <w:rsid w:val="00A93715"/>
    <w:pPr>
      <w:jc w:val="center"/>
    </w:pPr>
  </w:style>
  <w:style w:type="character" w:customStyle="1" w:styleId="GlavaZnak">
    <w:name w:val="Glava Znak"/>
    <w:basedOn w:val="Privzetapisavaodstavka"/>
    <w:link w:val="Glava"/>
    <w:rsid w:val="00A93715"/>
    <w:rPr>
      <w:rFonts w:ascii="Arial" w:eastAsia="Times New Roman" w:hAnsi="Arial" w:cs="Arial"/>
      <w:spacing w:val="4"/>
      <w:sz w:val="20"/>
      <w:szCs w:val="24"/>
      <w:lang w:val="de-AT"/>
    </w:rPr>
  </w:style>
  <w:style w:type="paragraph" w:styleId="Naslov">
    <w:name w:val="Title"/>
    <w:basedOn w:val="Telobesedila"/>
    <w:next w:val="Telobesedila"/>
    <w:link w:val="NaslovZnak"/>
    <w:qFormat/>
    <w:rsid w:val="00A93715"/>
    <w:pPr>
      <w:jc w:val="center"/>
    </w:pPr>
    <w:rPr>
      <w:b/>
      <w:bCs/>
      <w:sz w:val="24"/>
      <w:szCs w:val="32"/>
    </w:rPr>
  </w:style>
  <w:style w:type="character" w:customStyle="1" w:styleId="NaslovZnak">
    <w:name w:val="Naslov Znak"/>
    <w:basedOn w:val="Privzetapisavaodstavka"/>
    <w:link w:val="Naslov"/>
    <w:rsid w:val="00A93715"/>
    <w:rPr>
      <w:rFonts w:ascii="Arial" w:eastAsia="Times New Roman" w:hAnsi="Arial" w:cs="Arial"/>
      <w:b/>
      <w:bCs/>
      <w:spacing w:val="4"/>
      <w:sz w:val="24"/>
      <w:szCs w:val="32"/>
      <w:lang w:val="de-AT"/>
    </w:rPr>
  </w:style>
  <w:style w:type="character" w:styleId="tevilkastrani">
    <w:name w:val="page number"/>
    <w:basedOn w:val="Privzetapisavaodstavka"/>
    <w:rsid w:val="00A93715"/>
  </w:style>
  <w:style w:type="paragraph" w:styleId="Golobesedilo">
    <w:name w:val="Plain Text"/>
    <w:basedOn w:val="Navaden"/>
    <w:link w:val="GolobesediloZnak"/>
    <w:uiPriority w:val="99"/>
    <w:rsid w:val="00A93715"/>
    <w:rPr>
      <w:rFonts w:ascii="Courier New" w:hAnsi="Courier New" w:cs="Courier New"/>
      <w:szCs w:val="20"/>
    </w:rPr>
  </w:style>
  <w:style w:type="character" w:customStyle="1" w:styleId="GolobesediloZnak">
    <w:name w:val="Golo besedilo Znak"/>
    <w:basedOn w:val="Privzetapisavaodstavka"/>
    <w:link w:val="Golobesedilo"/>
    <w:uiPriority w:val="99"/>
    <w:rsid w:val="00A93715"/>
    <w:rPr>
      <w:rFonts w:ascii="Courier New" w:eastAsia="Times New Roman" w:hAnsi="Courier New" w:cs="Courier New"/>
      <w:spacing w:val="4"/>
      <w:sz w:val="20"/>
      <w:szCs w:val="20"/>
      <w:lang w:val="de-AT"/>
    </w:rPr>
  </w:style>
  <w:style w:type="paragraph" w:styleId="Besedilooblaka">
    <w:name w:val="Balloon Text"/>
    <w:basedOn w:val="Navaden"/>
    <w:link w:val="BesedilooblakaZnak"/>
    <w:uiPriority w:val="99"/>
    <w:semiHidden/>
    <w:unhideWhenUsed/>
    <w:rsid w:val="00C162B9"/>
    <w:pPr>
      <w:spacing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C162B9"/>
    <w:rPr>
      <w:rFonts w:ascii="Segoe UI" w:eastAsia="Times New Roman" w:hAnsi="Segoe UI" w:cs="Segoe UI"/>
      <w:spacing w:val="4"/>
      <w:sz w:val="18"/>
      <w:szCs w:val="18"/>
      <w:lang w:val="de-AT"/>
    </w:rPr>
  </w:style>
  <w:style w:type="paragraph" w:styleId="Telobesedila-zamik2">
    <w:name w:val="Body Text Indent 2"/>
    <w:basedOn w:val="Navaden"/>
    <w:link w:val="Telobesedila-zamik2Znak"/>
    <w:uiPriority w:val="99"/>
    <w:semiHidden/>
    <w:unhideWhenUsed/>
    <w:rsid w:val="00B34F17"/>
    <w:pPr>
      <w:spacing w:after="120" w:line="480" w:lineRule="auto"/>
      <w:ind w:left="283"/>
    </w:pPr>
  </w:style>
  <w:style w:type="character" w:customStyle="1" w:styleId="Telobesedila-zamik2Znak">
    <w:name w:val="Telo besedila - zamik 2 Znak"/>
    <w:basedOn w:val="Privzetapisavaodstavka"/>
    <w:link w:val="Telobesedila-zamik2"/>
    <w:uiPriority w:val="99"/>
    <w:semiHidden/>
    <w:rsid w:val="00B34F17"/>
    <w:rPr>
      <w:rFonts w:ascii="Arial" w:eastAsia="Times New Roman" w:hAnsi="Arial" w:cs="Arial"/>
      <w:spacing w:val="4"/>
      <w:sz w:val="20"/>
      <w:szCs w:val="24"/>
      <w:lang w:val="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67276">
      <w:bodyDiv w:val="1"/>
      <w:marLeft w:val="0"/>
      <w:marRight w:val="0"/>
      <w:marTop w:val="0"/>
      <w:marBottom w:val="0"/>
      <w:divBdr>
        <w:top w:val="none" w:sz="0" w:space="0" w:color="auto"/>
        <w:left w:val="none" w:sz="0" w:space="0" w:color="auto"/>
        <w:bottom w:val="none" w:sz="0" w:space="0" w:color="auto"/>
        <w:right w:val="none" w:sz="0" w:space="0" w:color="auto"/>
      </w:divBdr>
    </w:div>
    <w:div w:id="112334202">
      <w:bodyDiv w:val="1"/>
      <w:marLeft w:val="0"/>
      <w:marRight w:val="0"/>
      <w:marTop w:val="0"/>
      <w:marBottom w:val="0"/>
      <w:divBdr>
        <w:top w:val="none" w:sz="0" w:space="0" w:color="auto"/>
        <w:left w:val="none" w:sz="0" w:space="0" w:color="auto"/>
        <w:bottom w:val="none" w:sz="0" w:space="0" w:color="auto"/>
        <w:right w:val="none" w:sz="0" w:space="0" w:color="auto"/>
      </w:divBdr>
    </w:div>
    <w:div w:id="152526085">
      <w:bodyDiv w:val="1"/>
      <w:marLeft w:val="0"/>
      <w:marRight w:val="0"/>
      <w:marTop w:val="0"/>
      <w:marBottom w:val="0"/>
      <w:divBdr>
        <w:top w:val="none" w:sz="0" w:space="0" w:color="auto"/>
        <w:left w:val="none" w:sz="0" w:space="0" w:color="auto"/>
        <w:bottom w:val="none" w:sz="0" w:space="0" w:color="auto"/>
        <w:right w:val="none" w:sz="0" w:space="0" w:color="auto"/>
      </w:divBdr>
    </w:div>
    <w:div w:id="160776472">
      <w:bodyDiv w:val="1"/>
      <w:marLeft w:val="0"/>
      <w:marRight w:val="0"/>
      <w:marTop w:val="0"/>
      <w:marBottom w:val="0"/>
      <w:divBdr>
        <w:top w:val="none" w:sz="0" w:space="0" w:color="auto"/>
        <w:left w:val="none" w:sz="0" w:space="0" w:color="auto"/>
        <w:bottom w:val="none" w:sz="0" w:space="0" w:color="auto"/>
        <w:right w:val="none" w:sz="0" w:space="0" w:color="auto"/>
      </w:divBdr>
    </w:div>
    <w:div w:id="233858459">
      <w:bodyDiv w:val="1"/>
      <w:marLeft w:val="0"/>
      <w:marRight w:val="0"/>
      <w:marTop w:val="0"/>
      <w:marBottom w:val="0"/>
      <w:divBdr>
        <w:top w:val="none" w:sz="0" w:space="0" w:color="auto"/>
        <w:left w:val="none" w:sz="0" w:space="0" w:color="auto"/>
        <w:bottom w:val="none" w:sz="0" w:space="0" w:color="auto"/>
        <w:right w:val="none" w:sz="0" w:space="0" w:color="auto"/>
      </w:divBdr>
    </w:div>
    <w:div w:id="370613531">
      <w:bodyDiv w:val="1"/>
      <w:marLeft w:val="0"/>
      <w:marRight w:val="0"/>
      <w:marTop w:val="0"/>
      <w:marBottom w:val="0"/>
      <w:divBdr>
        <w:top w:val="none" w:sz="0" w:space="0" w:color="auto"/>
        <w:left w:val="none" w:sz="0" w:space="0" w:color="auto"/>
        <w:bottom w:val="none" w:sz="0" w:space="0" w:color="auto"/>
        <w:right w:val="none" w:sz="0" w:space="0" w:color="auto"/>
      </w:divBdr>
    </w:div>
    <w:div w:id="490100212">
      <w:bodyDiv w:val="1"/>
      <w:marLeft w:val="0"/>
      <w:marRight w:val="0"/>
      <w:marTop w:val="0"/>
      <w:marBottom w:val="0"/>
      <w:divBdr>
        <w:top w:val="none" w:sz="0" w:space="0" w:color="auto"/>
        <w:left w:val="none" w:sz="0" w:space="0" w:color="auto"/>
        <w:bottom w:val="none" w:sz="0" w:space="0" w:color="auto"/>
        <w:right w:val="none" w:sz="0" w:space="0" w:color="auto"/>
      </w:divBdr>
    </w:div>
    <w:div w:id="632059105">
      <w:bodyDiv w:val="1"/>
      <w:marLeft w:val="0"/>
      <w:marRight w:val="0"/>
      <w:marTop w:val="0"/>
      <w:marBottom w:val="0"/>
      <w:divBdr>
        <w:top w:val="none" w:sz="0" w:space="0" w:color="auto"/>
        <w:left w:val="none" w:sz="0" w:space="0" w:color="auto"/>
        <w:bottom w:val="none" w:sz="0" w:space="0" w:color="auto"/>
        <w:right w:val="none" w:sz="0" w:space="0" w:color="auto"/>
      </w:divBdr>
    </w:div>
    <w:div w:id="694231534">
      <w:bodyDiv w:val="1"/>
      <w:marLeft w:val="0"/>
      <w:marRight w:val="0"/>
      <w:marTop w:val="0"/>
      <w:marBottom w:val="0"/>
      <w:divBdr>
        <w:top w:val="none" w:sz="0" w:space="0" w:color="auto"/>
        <w:left w:val="none" w:sz="0" w:space="0" w:color="auto"/>
        <w:bottom w:val="none" w:sz="0" w:space="0" w:color="auto"/>
        <w:right w:val="none" w:sz="0" w:space="0" w:color="auto"/>
      </w:divBdr>
    </w:div>
    <w:div w:id="880288764">
      <w:bodyDiv w:val="1"/>
      <w:marLeft w:val="0"/>
      <w:marRight w:val="0"/>
      <w:marTop w:val="0"/>
      <w:marBottom w:val="0"/>
      <w:divBdr>
        <w:top w:val="none" w:sz="0" w:space="0" w:color="auto"/>
        <w:left w:val="none" w:sz="0" w:space="0" w:color="auto"/>
        <w:bottom w:val="none" w:sz="0" w:space="0" w:color="auto"/>
        <w:right w:val="none" w:sz="0" w:space="0" w:color="auto"/>
      </w:divBdr>
    </w:div>
    <w:div w:id="906571322">
      <w:bodyDiv w:val="1"/>
      <w:marLeft w:val="0"/>
      <w:marRight w:val="0"/>
      <w:marTop w:val="0"/>
      <w:marBottom w:val="0"/>
      <w:divBdr>
        <w:top w:val="none" w:sz="0" w:space="0" w:color="auto"/>
        <w:left w:val="none" w:sz="0" w:space="0" w:color="auto"/>
        <w:bottom w:val="none" w:sz="0" w:space="0" w:color="auto"/>
        <w:right w:val="none" w:sz="0" w:space="0" w:color="auto"/>
      </w:divBdr>
    </w:div>
    <w:div w:id="952251654">
      <w:bodyDiv w:val="1"/>
      <w:marLeft w:val="0"/>
      <w:marRight w:val="0"/>
      <w:marTop w:val="0"/>
      <w:marBottom w:val="0"/>
      <w:divBdr>
        <w:top w:val="none" w:sz="0" w:space="0" w:color="auto"/>
        <w:left w:val="none" w:sz="0" w:space="0" w:color="auto"/>
        <w:bottom w:val="none" w:sz="0" w:space="0" w:color="auto"/>
        <w:right w:val="none" w:sz="0" w:space="0" w:color="auto"/>
      </w:divBdr>
    </w:div>
    <w:div w:id="1001540958">
      <w:bodyDiv w:val="1"/>
      <w:marLeft w:val="0"/>
      <w:marRight w:val="0"/>
      <w:marTop w:val="0"/>
      <w:marBottom w:val="0"/>
      <w:divBdr>
        <w:top w:val="none" w:sz="0" w:space="0" w:color="auto"/>
        <w:left w:val="none" w:sz="0" w:space="0" w:color="auto"/>
        <w:bottom w:val="none" w:sz="0" w:space="0" w:color="auto"/>
        <w:right w:val="none" w:sz="0" w:space="0" w:color="auto"/>
      </w:divBdr>
    </w:div>
    <w:div w:id="1123695904">
      <w:bodyDiv w:val="1"/>
      <w:marLeft w:val="0"/>
      <w:marRight w:val="0"/>
      <w:marTop w:val="0"/>
      <w:marBottom w:val="0"/>
      <w:divBdr>
        <w:top w:val="none" w:sz="0" w:space="0" w:color="auto"/>
        <w:left w:val="none" w:sz="0" w:space="0" w:color="auto"/>
        <w:bottom w:val="none" w:sz="0" w:space="0" w:color="auto"/>
        <w:right w:val="none" w:sz="0" w:space="0" w:color="auto"/>
      </w:divBdr>
    </w:div>
    <w:div w:id="1124538812">
      <w:bodyDiv w:val="1"/>
      <w:marLeft w:val="0"/>
      <w:marRight w:val="0"/>
      <w:marTop w:val="0"/>
      <w:marBottom w:val="0"/>
      <w:divBdr>
        <w:top w:val="none" w:sz="0" w:space="0" w:color="auto"/>
        <w:left w:val="none" w:sz="0" w:space="0" w:color="auto"/>
        <w:bottom w:val="none" w:sz="0" w:space="0" w:color="auto"/>
        <w:right w:val="none" w:sz="0" w:space="0" w:color="auto"/>
      </w:divBdr>
    </w:div>
    <w:div w:id="1220244725">
      <w:bodyDiv w:val="1"/>
      <w:marLeft w:val="0"/>
      <w:marRight w:val="0"/>
      <w:marTop w:val="0"/>
      <w:marBottom w:val="0"/>
      <w:divBdr>
        <w:top w:val="none" w:sz="0" w:space="0" w:color="auto"/>
        <w:left w:val="none" w:sz="0" w:space="0" w:color="auto"/>
        <w:bottom w:val="none" w:sz="0" w:space="0" w:color="auto"/>
        <w:right w:val="none" w:sz="0" w:space="0" w:color="auto"/>
      </w:divBdr>
    </w:div>
    <w:div w:id="1259024348">
      <w:bodyDiv w:val="1"/>
      <w:marLeft w:val="0"/>
      <w:marRight w:val="0"/>
      <w:marTop w:val="0"/>
      <w:marBottom w:val="0"/>
      <w:divBdr>
        <w:top w:val="none" w:sz="0" w:space="0" w:color="auto"/>
        <w:left w:val="none" w:sz="0" w:space="0" w:color="auto"/>
        <w:bottom w:val="none" w:sz="0" w:space="0" w:color="auto"/>
        <w:right w:val="none" w:sz="0" w:space="0" w:color="auto"/>
      </w:divBdr>
    </w:div>
    <w:div w:id="1486898027">
      <w:bodyDiv w:val="1"/>
      <w:marLeft w:val="0"/>
      <w:marRight w:val="0"/>
      <w:marTop w:val="0"/>
      <w:marBottom w:val="0"/>
      <w:divBdr>
        <w:top w:val="none" w:sz="0" w:space="0" w:color="auto"/>
        <w:left w:val="none" w:sz="0" w:space="0" w:color="auto"/>
        <w:bottom w:val="none" w:sz="0" w:space="0" w:color="auto"/>
        <w:right w:val="none" w:sz="0" w:space="0" w:color="auto"/>
      </w:divBdr>
    </w:div>
    <w:div w:id="1667707619">
      <w:bodyDiv w:val="1"/>
      <w:marLeft w:val="0"/>
      <w:marRight w:val="0"/>
      <w:marTop w:val="0"/>
      <w:marBottom w:val="0"/>
      <w:divBdr>
        <w:top w:val="none" w:sz="0" w:space="0" w:color="auto"/>
        <w:left w:val="none" w:sz="0" w:space="0" w:color="auto"/>
        <w:bottom w:val="none" w:sz="0" w:space="0" w:color="auto"/>
        <w:right w:val="none" w:sz="0" w:space="0" w:color="auto"/>
      </w:divBdr>
    </w:div>
    <w:div w:id="1724137262">
      <w:bodyDiv w:val="1"/>
      <w:marLeft w:val="0"/>
      <w:marRight w:val="0"/>
      <w:marTop w:val="0"/>
      <w:marBottom w:val="0"/>
      <w:divBdr>
        <w:top w:val="none" w:sz="0" w:space="0" w:color="auto"/>
        <w:left w:val="none" w:sz="0" w:space="0" w:color="auto"/>
        <w:bottom w:val="none" w:sz="0" w:space="0" w:color="auto"/>
        <w:right w:val="none" w:sz="0" w:space="0" w:color="auto"/>
      </w:divBdr>
    </w:div>
    <w:div w:id="1844780153">
      <w:bodyDiv w:val="1"/>
      <w:marLeft w:val="0"/>
      <w:marRight w:val="0"/>
      <w:marTop w:val="0"/>
      <w:marBottom w:val="0"/>
      <w:divBdr>
        <w:top w:val="none" w:sz="0" w:space="0" w:color="auto"/>
        <w:left w:val="none" w:sz="0" w:space="0" w:color="auto"/>
        <w:bottom w:val="none" w:sz="0" w:space="0" w:color="auto"/>
        <w:right w:val="none" w:sz="0" w:space="0" w:color="auto"/>
      </w:divBdr>
    </w:div>
    <w:div w:id="1872302755">
      <w:bodyDiv w:val="1"/>
      <w:marLeft w:val="0"/>
      <w:marRight w:val="0"/>
      <w:marTop w:val="0"/>
      <w:marBottom w:val="0"/>
      <w:divBdr>
        <w:top w:val="none" w:sz="0" w:space="0" w:color="auto"/>
        <w:left w:val="none" w:sz="0" w:space="0" w:color="auto"/>
        <w:bottom w:val="none" w:sz="0" w:space="0" w:color="auto"/>
        <w:right w:val="none" w:sz="0" w:space="0" w:color="auto"/>
      </w:divBdr>
    </w:div>
    <w:div w:id="1907688864">
      <w:bodyDiv w:val="1"/>
      <w:marLeft w:val="0"/>
      <w:marRight w:val="0"/>
      <w:marTop w:val="0"/>
      <w:marBottom w:val="0"/>
      <w:divBdr>
        <w:top w:val="none" w:sz="0" w:space="0" w:color="auto"/>
        <w:left w:val="none" w:sz="0" w:space="0" w:color="auto"/>
        <w:bottom w:val="none" w:sz="0" w:space="0" w:color="auto"/>
        <w:right w:val="none" w:sz="0" w:space="0" w:color="auto"/>
      </w:divBdr>
    </w:div>
    <w:div w:id="2012635357">
      <w:bodyDiv w:val="1"/>
      <w:marLeft w:val="0"/>
      <w:marRight w:val="0"/>
      <w:marTop w:val="0"/>
      <w:marBottom w:val="0"/>
      <w:divBdr>
        <w:top w:val="none" w:sz="0" w:space="0" w:color="auto"/>
        <w:left w:val="none" w:sz="0" w:space="0" w:color="auto"/>
        <w:bottom w:val="none" w:sz="0" w:space="0" w:color="auto"/>
        <w:right w:val="none" w:sz="0" w:space="0" w:color="auto"/>
      </w:divBdr>
    </w:div>
    <w:div w:id="2073036300">
      <w:bodyDiv w:val="1"/>
      <w:marLeft w:val="0"/>
      <w:marRight w:val="0"/>
      <w:marTop w:val="0"/>
      <w:marBottom w:val="0"/>
      <w:divBdr>
        <w:top w:val="none" w:sz="0" w:space="0" w:color="auto"/>
        <w:left w:val="none" w:sz="0" w:space="0" w:color="auto"/>
        <w:bottom w:val="none" w:sz="0" w:space="0" w:color="auto"/>
        <w:right w:val="none" w:sz="0" w:space="0" w:color="auto"/>
      </w:divBdr>
    </w:div>
    <w:div w:id="2075080133">
      <w:bodyDiv w:val="1"/>
      <w:marLeft w:val="0"/>
      <w:marRight w:val="0"/>
      <w:marTop w:val="0"/>
      <w:marBottom w:val="0"/>
      <w:divBdr>
        <w:top w:val="none" w:sz="0" w:space="0" w:color="auto"/>
        <w:left w:val="none" w:sz="0" w:space="0" w:color="auto"/>
        <w:bottom w:val="none" w:sz="0" w:space="0" w:color="auto"/>
        <w:right w:val="none" w:sz="0" w:space="0" w:color="auto"/>
      </w:divBdr>
    </w:div>
    <w:div w:id="2101636521">
      <w:bodyDiv w:val="1"/>
      <w:marLeft w:val="0"/>
      <w:marRight w:val="0"/>
      <w:marTop w:val="0"/>
      <w:marBottom w:val="0"/>
      <w:divBdr>
        <w:top w:val="none" w:sz="0" w:space="0" w:color="auto"/>
        <w:left w:val="none" w:sz="0" w:space="0" w:color="auto"/>
        <w:bottom w:val="none" w:sz="0" w:space="0" w:color="auto"/>
        <w:right w:val="none" w:sz="0" w:space="0" w:color="auto"/>
      </w:divBdr>
    </w:div>
    <w:div w:id="2133816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403</Words>
  <Characters>2302</Characters>
  <Application>Microsoft Office Word</Application>
  <DocSecurity>0</DocSecurity>
  <Lines>19</Lines>
  <Paragraphs>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Leskovec Leskovec</dc:creator>
  <cp:lastModifiedBy>Vid</cp:lastModifiedBy>
  <cp:revision>14</cp:revision>
  <cp:lastPrinted>2020-01-13T11:35:00Z</cp:lastPrinted>
  <dcterms:created xsi:type="dcterms:W3CDTF">2025-01-09T09:04:00Z</dcterms:created>
  <dcterms:modified xsi:type="dcterms:W3CDTF">2025-01-10T09:47:00Z</dcterms:modified>
</cp:coreProperties>
</file>